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72" w:rsidRDefault="00E863D7">
      <w:pPr>
        <w:tabs>
          <w:tab w:val="left" w:pos="4544"/>
        </w:tabs>
        <w:spacing w:line="360" w:lineRule="auto"/>
        <w:jc w:val="center"/>
        <w:rPr>
          <w:rFonts w:ascii="Calibri" w:hAnsi="Calibri" w:cs="Calibri"/>
          <w:b/>
          <w:color w:val="1A1A1A"/>
          <w:lang w:val="pt-BR"/>
        </w:rPr>
      </w:pPr>
      <w:r>
        <w:rPr>
          <w:rFonts w:ascii="Calibri" w:hAnsi="Calibri" w:cs="Calibri"/>
          <w:b/>
          <w:color w:val="1A1A1A"/>
          <w:lang w:val="pt-BR"/>
        </w:rPr>
        <w:t xml:space="preserve">RELATÓRIO DE PRODUÇÃO </w:t>
      </w:r>
      <w:r w:rsidR="00D15691">
        <w:rPr>
          <w:rFonts w:ascii="Calibri" w:hAnsi="Calibri" w:cs="Calibri"/>
          <w:b/>
          <w:color w:val="1A1A1A"/>
          <w:lang w:val="pt-BR"/>
        </w:rPr>
        <w:t>DOCENTE</w:t>
      </w:r>
      <w:r>
        <w:rPr>
          <w:rFonts w:ascii="Calibri" w:hAnsi="Calibri" w:cs="Calibri"/>
          <w:b/>
          <w:color w:val="1A1A1A"/>
          <w:lang w:val="pt-BR"/>
        </w:rPr>
        <w:t xml:space="preserve"> </w:t>
      </w:r>
      <w:r w:rsidR="00C56EC5">
        <w:rPr>
          <w:rFonts w:ascii="Calibri" w:hAnsi="Calibri" w:cs="Calibri"/>
          <w:b/>
          <w:color w:val="1A1A1A"/>
          <w:lang w:val="pt-BR"/>
        </w:rPr>
        <w:t>–</w:t>
      </w:r>
      <w:r>
        <w:rPr>
          <w:rFonts w:ascii="Calibri" w:hAnsi="Calibri" w:cs="Calibri"/>
          <w:b/>
          <w:color w:val="1A1A1A"/>
          <w:lang w:val="pt-BR"/>
        </w:rPr>
        <w:t xml:space="preserve"> 2025</w:t>
      </w:r>
    </w:p>
    <w:p w:rsidR="00D15691" w:rsidRPr="0033611D" w:rsidRDefault="00D15691" w:rsidP="00D15691">
      <w:pPr>
        <w:tabs>
          <w:tab w:val="left" w:pos="4544"/>
        </w:tabs>
        <w:jc w:val="both"/>
        <w:rPr>
          <w:rFonts w:asciiTheme="majorHAnsi" w:eastAsia="Arial" w:hAnsiTheme="majorHAnsi" w:cstheme="majorHAnsi"/>
          <w:color w:val="1A1A1A"/>
          <w:sz w:val="22"/>
          <w:szCs w:val="22"/>
        </w:rPr>
      </w:pPr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A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fim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completar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o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Relatório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Anual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da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Produção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do PPGCEN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relativa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ano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de 2025 </w:t>
      </w:r>
      <w:proofErr w:type="spellStart"/>
      <w:proofErr w:type="gram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na</w:t>
      </w:r>
      <w:proofErr w:type="spellEnd"/>
      <w:proofErr w:type="gram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Plataforma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Sucupira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solicitamos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gentilmente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o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encaminhamento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por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email, à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secretaria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do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Programa</w:t>
      </w:r>
      <w:proofErr w:type="spellEnd"/>
      <w:r w:rsid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(</w:t>
      </w:r>
      <w:hyperlink r:id="rId9">
        <w:r w:rsidR="00BD220B" w:rsidRPr="003D1168">
          <w:rPr>
            <w:rStyle w:val="Hyperlink"/>
            <w:rFonts w:asciiTheme="majorHAnsi" w:hAnsiTheme="majorHAnsi" w:cstheme="majorHAnsi"/>
            <w:sz w:val="22"/>
            <w:szCs w:val="22"/>
            <w:lang w:val="pt-BR"/>
          </w:rPr>
          <w:t>secretariapgcen@unb.br</w:t>
        </w:r>
      </w:hyperlink>
      <w:r w:rsidR="00BD220B">
        <w:rPr>
          <w:rStyle w:val="Hyperlink"/>
          <w:rFonts w:asciiTheme="majorHAnsi" w:hAnsiTheme="majorHAnsi" w:cstheme="majorHAnsi"/>
          <w:sz w:val="22"/>
          <w:szCs w:val="22"/>
          <w:lang w:val="pt-BR"/>
        </w:rPr>
        <w:t>)</w:t>
      </w:r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, das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informações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referentes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aos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tópicos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listados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abaixo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(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pelo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menos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um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parágrafo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por</w:t>
      </w:r>
      <w:proofErr w:type="spellEnd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BD220B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tópico</w:t>
      </w:r>
      <w:proofErr w:type="spellEnd"/>
      <w:r w:rsidRPr="0033611D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) </w:t>
      </w:r>
      <w:proofErr w:type="spellStart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até</w:t>
      </w:r>
      <w:proofErr w:type="spellEnd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dia</w:t>
      </w:r>
      <w:proofErr w:type="spellEnd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31 de </w:t>
      </w:r>
      <w:proofErr w:type="spellStart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janeiro</w:t>
      </w:r>
      <w:proofErr w:type="spellEnd"/>
      <w:r w:rsidRPr="0033611D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de 2026</w:t>
      </w:r>
      <w:r w:rsidRPr="0033611D">
        <w:rPr>
          <w:rFonts w:asciiTheme="majorHAnsi" w:eastAsia="Arial" w:hAnsiTheme="majorHAnsi" w:cstheme="majorHAnsi"/>
          <w:color w:val="1A1A1A"/>
          <w:sz w:val="22"/>
          <w:szCs w:val="22"/>
        </w:rPr>
        <w:t>.</w:t>
      </w:r>
    </w:p>
    <w:p w:rsidR="00D15691" w:rsidRPr="0033611D" w:rsidRDefault="00D15691" w:rsidP="00D15691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Pedimos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textos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escritos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em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proofErr w:type="gram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terceira</w:t>
      </w:r>
      <w:proofErr w:type="spellEnd"/>
      <w:proofErr w:type="gram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pessoa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já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dados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serão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compilados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para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compor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o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relatório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final do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programa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e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sempre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possível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inseridos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links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relativos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às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produções</w:t>
      </w:r>
      <w:proofErr w:type="spellEnd"/>
      <w:r w:rsidRPr="0033611D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Integração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com a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graduação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e com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administração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discrimine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quantifique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disciplinas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ministradas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indicando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nomes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carga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horária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produções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alunos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colegas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atuam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Pós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quantas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orientações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TCC, IC, se tem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extensão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etc.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também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suas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TCC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Diplomação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. Se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orientando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realizou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estágio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)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neste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ano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favor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relatar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até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5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linhas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atividades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realizadas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neste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estágio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discente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disciplina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junto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qual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realizou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.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comissões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conselhos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você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integra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cargos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ocupa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Intercâmbios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Nacionais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organização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aPós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Explorações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por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exemplo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–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cursos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ministrados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outras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instituições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palestras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festivais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curadorias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júris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parcerias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artísticas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grupos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companhias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outras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instituições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apenas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acadêmicas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Intercâmbios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Internacionais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idem,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porém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âmbito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internacional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Experiência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inovadora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formação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propostas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metodológicas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diferenciadas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criações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uso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tecnologias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tanto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produtos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artísticos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quanto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ensino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aprendizagem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) -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aqui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é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valorizar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estamos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fazendo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apontando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tem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inovador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original,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inédito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.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Temos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apostado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muito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nossos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relatórios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anteriores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valorização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teoria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diversos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níveis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formação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oferecida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pelo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PPGCEN.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before="240"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Inserção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Social:</w:t>
      </w:r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extensão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apresentação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artísticos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e/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científicos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comunidades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organização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comunidade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–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lembrar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dos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realizados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pelos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/com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seus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orientandos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Interfaces com </w:t>
      </w:r>
      <w:proofErr w:type="gram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a</w:t>
      </w:r>
      <w:proofErr w:type="gram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Educação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Básica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atuação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escolas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creches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alunos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palestras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minicursos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etc. –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lembrar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dos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realizados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pelos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/com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seus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orientandos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before="240"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Impacto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econômico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>, social e/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cultural </w:t>
      </w:r>
      <w:r w:rsidRPr="0033611D">
        <w:rPr>
          <w:rFonts w:asciiTheme="majorHAnsi" w:eastAsia="Arial" w:hAnsiTheme="majorHAnsi" w:cstheme="majorHAnsi"/>
          <w:sz w:val="22"/>
          <w:szCs w:val="22"/>
        </w:rPr>
        <w:t>(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aspectos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sua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produção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atuação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profissional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você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destacaria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ativos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potencialmente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fomentadores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um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mais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desses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impactos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?)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lastRenderedPageBreak/>
        <w:t>Financiamento</w:t>
      </w:r>
      <w:proofErr w:type="spellEnd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r w:rsidRPr="0033611D">
        <w:rPr>
          <w:rFonts w:asciiTheme="majorHAnsi" w:eastAsia="Arial" w:hAnsiTheme="majorHAnsi" w:cstheme="majorHAnsi"/>
          <w:sz w:val="22"/>
          <w:szCs w:val="22"/>
        </w:rPr>
        <w:t>(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recebeu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tipo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financiamento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desses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intercâmbios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suas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produções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?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Indicar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destino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origem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verbas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recebidas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?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Exemplo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montagem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espetáculos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etc.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recebido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FAC,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CNPq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CAPES, FAP-DF,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patrocínio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via Lei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Rouanet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, etc.)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>Prêmios</w:t>
      </w:r>
      <w:proofErr w:type="spellEnd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>recebidos</w:t>
      </w:r>
      <w:proofErr w:type="spellEnd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>:</w:t>
      </w:r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detalhamento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prêmios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artísticos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e/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acadêmicos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recebidos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33611D">
        <w:rPr>
          <w:rFonts w:asciiTheme="majorHAnsi" w:eastAsia="Arial" w:hAnsiTheme="majorHAnsi" w:cstheme="majorHAnsi"/>
          <w:sz w:val="22"/>
          <w:szCs w:val="22"/>
        </w:rPr>
        <w:t>durante</w:t>
      </w:r>
      <w:proofErr w:type="spellEnd"/>
      <w:proofErr w:type="gram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período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2025.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Atividades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complementares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comitês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editorias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emissão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pareceres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prêmios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recebidos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menções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honrosas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indicações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traduções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prefácios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entrevistas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concursos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consultorias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produção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técnica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, etc.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Pós-doutorado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se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você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concluiu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ou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começou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um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pós-doutorado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2025,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informe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gram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</w:t>
      </w:r>
      <w:proofErr w:type="gram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instituição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vínculo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e as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principais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ações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realizadas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neste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ano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Relação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dissertações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>/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teses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descreva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seu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próprio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projeto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cada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uma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orientandos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do PPGCEN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tenham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defendido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2025,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articulando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-as com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linha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atua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no PPGCEN 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ressaltando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pertinência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dos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membros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banca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Perspectivas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futuras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sz w:val="22"/>
          <w:szCs w:val="22"/>
        </w:rPr>
        <w:t>para</w:t>
      </w:r>
      <w:proofErr w:type="spellEnd"/>
      <w:r w:rsidRPr="0033611D">
        <w:rPr>
          <w:rFonts w:asciiTheme="majorHAnsi" w:eastAsia="Arial" w:hAnsiTheme="majorHAnsi" w:cstheme="majorHAnsi"/>
          <w:b/>
          <w:sz w:val="22"/>
          <w:szCs w:val="22"/>
        </w:rPr>
        <w:t xml:space="preserve"> 2026:</w:t>
      </w:r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indique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artigos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aceitos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para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publicação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eventos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já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programados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projetos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já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aprovados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em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editais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fomento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, com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execução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Cs/>
          <w:sz w:val="22"/>
          <w:szCs w:val="22"/>
        </w:rPr>
        <w:t>para</w:t>
      </w:r>
      <w:proofErr w:type="spellEnd"/>
      <w:r w:rsidRPr="0033611D">
        <w:rPr>
          <w:rFonts w:asciiTheme="majorHAnsi" w:eastAsia="Arial" w:hAnsiTheme="majorHAnsi" w:cstheme="majorHAnsi"/>
          <w:bCs/>
          <w:sz w:val="22"/>
          <w:szCs w:val="22"/>
        </w:rPr>
        <w:t xml:space="preserve"> 2026.</w:t>
      </w:r>
    </w:p>
    <w:p w:rsidR="00D15691" w:rsidRPr="0033611D" w:rsidRDefault="00D15691" w:rsidP="00D15691">
      <w:pPr>
        <w:numPr>
          <w:ilvl w:val="0"/>
          <w:numId w:val="6"/>
        </w:numPr>
        <w:tabs>
          <w:tab w:val="left" w:pos="4544"/>
        </w:tabs>
        <w:spacing w:line="276" w:lineRule="auto"/>
        <w:ind w:left="720" w:hanging="36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>Afastamento</w:t>
      </w:r>
      <w:proofErr w:type="spellEnd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>docente</w:t>
      </w:r>
      <w:proofErr w:type="spellEnd"/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: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indique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motivo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e 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período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afastamento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no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ano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de 2025</w:t>
      </w:r>
      <w:r w:rsidRPr="0033611D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r w:rsidRPr="0033611D">
        <w:rPr>
          <w:rFonts w:asciiTheme="majorHAnsi" w:eastAsia="Arial" w:hAnsiTheme="majorHAnsi" w:cstheme="majorHAnsi"/>
          <w:sz w:val="22"/>
          <w:szCs w:val="22"/>
        </w:rPr>
        <w:t>(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pós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-doc,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licença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capacitação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33611D">
        <w:rPr>
          <w:rFonts w:asciiTheme="majorHAnsi" w:eastAsia="Arial" w:hAnsiTheme="majorHAnsi" w:cstheme="majorHAnsi"/>
          <w:sz w:val="22"/>
          <w:szCs w:val="22"/>
        </w:rPr>
        <w:t>etc</w:t>
      </w:r>
      <w:proofErr w:type="spellEnd"/>
      <w:r w:rsidRPr="0033611D">
        <w:rPr>
          <w:rFonts w:asciiTheme="majorHAnsi" w:eastAsia="Arial" w:hAnsiTheme="majorHAnsi" w:cstheme="majorHAnsi"/>
          <w:sz w:val="22"/>
          <w:szCs w:val="22"/>
        </w:rPr>
        <w:t>)</w:t>
      </w:r>
    </w:p>
    <w:p w:rsidR="00BD220B" w:rsidRPr="00BD220B" w:rsidRDefault="00BD220B" w:rsidP="00BD220B">
      <w:pPr>
        <w:pStyle w:val="PargrafodaLista"/>
        <w:ind w:left="0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BD220B">
        <w:rPr>
          <w:rFonts w:asciiTheme="majorHAnsi" w:eastAsia="Arial" w:hAnsiTheme="majorHAnsi" w:cstheme="majorHAnsi"/>
          <w:b/>
          <w:color w:val="1A1A1A"/>
          <w:highlight w:val="yellow"/>
        </w:rPr>
        <w:t>OBSERVAÇÃO IMPORTANTE:</w:t>
      </w:r>
      <w:r w:rsidRPr="00BD220B">
        <w:rPr>
          <w:rFonts w:asciiTheme="majorHAnsi" w:eastAsia="Arial" w:hAnsiTheme="majorHAnsi" w:cstheme="majorHAnsi"/>
          <w:color w:val="1A1A1A"/>
          <w:highlight w:val="yellow"/>
        </w:rPr>
        <w:t xml:space="preserve"> No caso das produções </w:t>
      </w:r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artísticas, de livros e produções técnicas realizadas em 2025, pedimos ainda o envio de </w:t>
      </w:r>
      <w:proofErr w:type="spellStart"/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>PDFs</w:t>
      </w:r>
      <w:proofErr w:type="spellEnd"/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ou de </w:t>
      </w:r>
      <w:r w:rsidRPr="00BD220B">
        <w:rPr>
          <w:rFonts w:asciiTheme="majorHAnsi" w:eastAsia="Times New Roman" w:hAnsiTheme="majorHAnsi" w:cstheme="majorHAnsi"/>
          <w:i/>
          <w:color w:val="222222"/>
          <w:highlight w:val="yellow"/>
          <w:shd w:val="clear" w:color="auto" w:fill="FFFFFF"/>
        </w:rPr>
        <w:t>link</w:t>
      </w:r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com acesso a </w:t>
      </w:r>
      <w:proofErr w:type="spellStart"/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>PDFs</w:t>
      </w:r>
      <w:proofErr w:type="spellEnd"/>
      <w:r w:rsidRPr="00BD220B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(um PDF por produção) com o material descrito abaixo. Produções artísticas, bibliográficas e técnicas não comprovadas não serão avaliadas.</w:t>
      </w:r>
    </w:p>
    <w:p w:rsidR="00BD220B" w:rsidRPr="003D1168" w:rsidRDefault="00BD220B" w:rsidP="00BD220B">
      <w:pPr>
        <w:spacing w:after="0"/>
        <w:jc w:val="both"/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</w:pPr>
      <w:proofErr w:type="spellStart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Livros</w:t>
      </w:r>
      <w:proofErr w:type="spellEnd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: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bookmarkStart w:id="0" w:name="_GoBack"/>
      <w:bookmarkEnd w:id="0"/>
      <w:r w:rsidRPr="003D1168">
        <w:rPr>
          <w:rFonts w:asciiTheme="majorHAnsi" w:eastAsia="Times New Roman" w:hAnsiTheme="majorHAnsi" w:cstheme="majorHAnsi"/>
          <w:iCs/>
          <w:color w:val="222222"/>
        </w:rPr>
        <w:t>Capa e contracapa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Índice remissivo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Prefácio / introdução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Sumário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Conselho editorial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Carta mencionando se teve revisão por pares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Apresentação / informações dos autores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Premiações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Ficha bibliográfica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Financiamento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com inclusão de carta comprovando financiamento ou trecho do livro </w:t>
      </w:r>
    </w:p>
    <w:p w:rsidR="00BD220B" w:rsidRPr="003D1168" w:rsidRDefault="00BD220B" w:rsidP="00BD220B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Duas páginas iniciais de cada capítulo (no caso de coletânea) ou duas páginas do</w:t>
      </w:r>
      <w:r w:rsidRPr="003D1168">
        <w:rPr>
          <w:rFonts w:asciiTheme="majorHAnsi" w:eastAsia="Times New Roman" w:hAnsiTheme="majorHAnsi" w:cstheme="majorHAnsi"/>
          <w:iCs/>
          <w:color w:val="222222"/>
        </w:rPr>
        <w:br/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capitulo</w:t>
      </w:r>
      <w:proofErr w:type="gramEnd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 inicial e do capítulo final (no caso de obra completa).</w:t>
      </w:r>
    </w:p>
    <w:p w:rsidR="00BD220B" w:rsidRPr="003D1168" w:rsidRDefault="00BD220B" w:rsidP="00BD220B">
      <w:p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  <w:sz w:val="22"/>
          <w:szCs w:val="22"/>
          <w:lang w:val="pt-BR"/>
        </w:rPr>
      </w:pPr>
    </w:p>
    <w:p w:rsidR="00BD220B" w:rsidRPr="003D1168" w:rsidRDefault="00BD220B" w:rsidP="00BD220B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</w:pPr>
      <w:r w:rsidRPr="003D1168"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  <w:t>Produção Artística (documentos que comprovem):</w:t>
      </w:r>
    </w:p>
    <w:p w:rsidR="00BD220B" w:rsidRPr="003D1168" w:rsidRDefault="00BD220B" w:rsidP="00BD220B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</w:pPr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Clipping (com programa e registros de divulgação em veículos de imprensa, mídias e redes sociais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)</w:t>
      </w:r>
      <w:proofErr w:type="gramEnd"/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Local das apresentações</w:t>
      </w:r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Público estimado e se houve ações junto a público específico ou de acessibilidade</w:t>
      </w:r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Seleção ou convite para participação em festivais e mostras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, se houver</w:t>
      </w:r>
      <w:proofErr w:type="gramEnd"/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Premiações se houver</w:t>
      </w:r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Financiamento se houver</w:t>
      </w:r>
    </w:p>
    <w:p w:rsidR="00BD220B" w:rsidRPr="003D1168" w:rsidRDefault="00BD220B" w:rsidP="00BD220B">
      <w:pPr>
        <w:pStyle w:val="PargrafodaLista"/>
        <w:numPr>
          <w:ilvl w:val="0"/>
          <w:numId w:val="3"/>
        </w:numPr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</w:rPr>
      </w:pPr>
      <w:bookmarkStart w:id="1" w:name="_Hlk530838835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Participação/parceria com artistas, grupos, instituições de outras cidades ou 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países</w:t>
      </w:r>
      <w:bookmarkEnd w:id="1"/>
      <w:proofErr w:type="gramEnd"/>
    </w:p>
    <w:p w:rsidR="00BD220B" w:rsidRDefault="00BD220B" w:rsidP="00D15691">
      <w:pPr>
        <w:tabs>
          <w:tab w:val="left" w:pos="4544"/>
        </w:tabs>
        <w:jc w:val="both"/>
        <w:rPr>
          <w:rFonts w:asciiTheme="majorHAnsi" w:eastAsia="Arial" w:hAnsiTheme="majorHAnsi" w:cstheme="majorHAnsi"/>
          <w:color w:val="FF0000"/>
          <w:sz w:val="22"/>
          <w:szCs w:val="22"/>
        </w:rPr>
      </w:pPr>
    </w:p>
    <w:p w:rsidR="00D15691" w:rsidRPr="0033611D" w:rsidRDefault="00D15691" w:rsidP="00D15691">
      <w:pPr>
        <w:tabs>
          <w:tab w:val="left" w:pos="4544"/>
        </w:tabs>
        <w:jc w:val="both"/>
        <w:rPr>
          <w:rFonts w:asciiTheme="majorHAnsi" w:eastAsia="Arial" w:hAnsiTheme="majorHAnsi" w:cstheme="majorHAnsi"/>
          <w:color w:val="FF0000"/>
          <w:sz w:val="22"/>
          <w:szCs w:val="22"/>
        </w:rPr>
      </w:pPr>
      <w:proofErr w:type="spellStart"/>
      <w:r w:rsidRPr="0033611D">
        <w:rPr>
          <w:rFonts w:asciiTheme="majorHAnsi" w:eastAsia="Arial" w:hAnsiTheme="majorHAnsi" w:cstheme="majorHAnsi"/>
          <w:color w:val="FF0000"/>
          <w:sz w:val="22"/>
          <w:szCs w:val="22"/>
        </w:rPr>
        <w:t>Atenção</w:t>
      </w:r>
      <w:proofErr w:type="spellEnd"/>
      <w:r w:rsidRPr="0033611D">
        <w:rPr>
          <w:rFonts w:asciiTheme="majorHAnsi" w:eastAsia="Arial" w:hAnsiTheme="majorHAnsi" w:cstheme="majorHAnsi"/>
          <w:color w:val="FF0000"/>
          <w:sz w:val="22"/>
          <w:szCs w:val="22"/>
        </w:rPr>
        <w:t xml:space="preserve">: </w:t>
      </w:r>
    </w:p>
    <w:p w:rsidR="00D15691" w:rsidRPr="0033611D" w:rsidRDefault="00D15691" w:rsidP="00D15691">
      <w:pPr>
        <w:pStyle w:val="PargrafodaLista"/>
        <w:numPr>
          <w:ilvl w:val="0"/>
          <w:numId w:val="7"/>
        </w:numPr>
        <w:tabs>
          <w:tab w:val="left" w:pos="4544"/>
        </w:tabs>
        <w:jc w:val="both"/>
        <w:rPr>
          <w:rFonts w:asciiTheme="majorHAnsi" w:eastAsia="Arial" w:hAnsiTheme="majorHAnsi" w:cstheme="majorHAnsi"/>
          <w:color w:val="FF0000"/>
        </w:rPr>
      </w:pPr>
      <w:r w:rsidRPr="0033611D">
        <w:rPr>
          <w:rFonts w:asciiTheme="majorHAnsi" w:eastAsia="Arial" w:hAnsiTheme="majorHAnsi" w:cstheme="majorHAnsi"/>
          <w:color w:val="FF0000"/>
        </w:rPr>
        <w:t>No preenchimento de todos os tópicos é importante considerar também a atuação de seus orientandos. Por exemplo, um projeto de mestrado desenvolvido em uma creche demonstra a inserção do docente e do discente na Educação Básica; um espetáculo de mestrando apresentado em uma comunidade demonstra inserção social de ambos.</w:t>
      </w:r>
    </w:p>
    <w:p w:rsidR="00D15691" w:rsidRPr="0033611D" w:rsidRDefault="00D15691" w:rsidP="00D15691">
      <w:pPr>
        <w:pStyle w:val="PargrafodaLista"/>
        <w:numPr>
          <w:ilvl w:val="0"/>
          <w:numId w:val="7"/>
        </w:numPr>
        <w:tabs>
          <w:tab w:val="left" w:pos="4544"/>
        </w:tabs>
        <w:jc w:val="both"/>
        <w:rPr>
          <w:rFonts w:asciiTheme="majorHAnsi" w:hAnsiTheme="majorHAnsi" w:cstheme="majorHAnsi"/>
          <w:color w:val="FF0000"/>
        </w:rPr>
      </w:pPr>
      <w:r w:rsidRPr="0033611D">
        <w:rPr>
          <w:rFonts w:asciiTheme="majorHAnsi" w:hAnsiTheme="majorHAnsi" w:cstheme="majorHAnsi"/>
          <w:color w:val="FF0000"/>
        </w:rPr>
        <w:t>Não há problema se algumas informações forem repetidas em diferentes tópicos. Neste caso, quanto mais informação, melhor.</w:t>
      </w:r>
    </w:p>
    <w:p w:rsidR="00D15691" w:rsidRPr="0033611D" w:rsidRDefault="00D15691" w:rsidP="00D15691">
      <w:pPr>
        <w:pStyle w:val="PargrafodaLista"/>
        <w:numPr>
          <w:ilvl w:val="0"/>
          <w:numId w:val="7"/>
        </w:numPr>
        <w:tabs>
          <w:tab w:val="left" w:pos="4544"/>
        </w:tabs>
        <w:jc w:val="both"/>
        <w:rPr>
          <w:rFonts w:asciiTheme="majorHAnsi" w:hAnsiTheme="majorHAnsi" w:cstheme="majorHAnsi"/>
          <w:color w:val="FF0000"/>
        </w:rPr>
      </w:pPr>
      <w:r w:rsidRPr="0033611D">
        <w:rPr>
          <w:rFonts w:asciiTheme="majorHAnsi" w:hAnsiTheme="majorHAnsi" w:cstheme="majorHAnsi"/>
          <w:color w:val="FF0000"/>
        </w:rPr>
        <w:t xml:space="preserve">Conceitos como ‘ineditismo’, ‘originalidade’, ‘atualidade’, ‘impacto social, cultural e econômico’ e ‘preenchimento de lacunas de conhecimento’ tem sido apontados como indicadores de avaliação pela CAPES. Assim, pedimos que se você identificar em sua produção relação com esses princípios, </w:t>
      </w:r>
      <w:r w:rsidR="00BD220B">
        <w:rPr>
          <w:rFonts w:asciiTheme="majorHAnsi" w:hAnsiTheme="majorHAnsi" w:cstheme="majorHAnsi"/>
          <w:color w:val="FF0000"/>
        </w:rPr>
        <w:t xml:space="preserve">que </w:t>
      </w:r>
      <w:r w:rsidRPr="0033611D">
        <w:rPr>
          <w:rFonts w:asciiTheme="majorHAnsi" w:hAnsiTheme="majorHAnsi" w:cstheme="majorHAnsi"/>
          <w:color w:val="FF0000"/>
        </w:rPr>
        <w:t>indique em seu relato.</w:t>
      </w:r>
    </w:p>
    <w:p w:rsidR="00D15691" w:rsidRDefault="00D15691" w:rsidP="00D15691">
      <w:pPr>
        <w:pStyle w:val="PargrafodaLista"/>
        <w:numPr>
          <w:ilvl w:val="0"/>
          <w:numId w:val="7"/>
        </w:numPr>
        <w:tabs>
          <w:tab w:val="left" w:pos="4544"/>
        </w:tabs>
        <w:jc w:val="both"/>
        <w:rPr>
          <w:rFonts w:asciiTheme="majorHAnsi" w:hAnsiTheme="majorHAnsi" w:cstheme="majorHAnsi"/>
          <w:color w:val="FF0000"/>
        </w:rPr>
      </w:pPr>
      <w:r w:rsidRPr="0033611D">
        <w:rPr>
          <w:rFonts w:asciiTheme="majorHAnsi" w:hAnsiTheme="majorHAnsi" w:cstheme="majorHAnsi"/>
          <w:color w:val="FF0000"/>
        </w:rPr>
        <w:t>A CAPES vem valorizando a atuação de discentes e egressos, tanto quanto a de docentes, bem como dando especial valor a produções conjuntas. Assim, se você tem conhecimento de produções relevantes de seus orientandos e egressos, por favor, indique-as também em suas respostas.</w:t>
      </w:r>
    </w:p>
    <w:p w:rsidR="00BD220B" w:rsidRPr="0033611D" w:rsidRDefault="00BD220B" w:rsidP="00D15691">
      <w:pPr>
        <w:pStyle w:val="PargrafodaLista"/>
        <w:numPr>
          <w:ilvl w:val="0"/>
          <w:numId w:val="7"/>
        </w:numPr>
        <w:tabs>
          <w:tab w:val="left" w:pos="4544"/>
        </w:tabs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 xml:space="preserve">Lembrando que as produções cadastradas no </w:t>
      </w:r>
      <w:r w:rsidRPr="00BD220B">
        <w:rPr>
          <w:rFonts w:asciiTheme="majorHAnsi" w:hAnsiTheme="majorHAnsi" w:cstheme="majorHAnsi"/>
          <w:i/>
          <w:color w:val="FF0000"/>
        </w:rPr>
        <w:t>Lattes</w:t>
      </w:r>
      <w:r>
        <w:rPr>
          <w:rFonts w:asciiTheme="majorHAnsi" w:hAnsiTheme="majorHAnsi" w:cstheme="majorHAnsi"/>
          <w:color w:val="FF0000"/>
        </w:rPr>
        <w:t xml:space="preserve"> devem seguir os modelos de nomenclatura conforme o tutorial disponível em nosso site: </w:t>
      </w:r>
      <w:hyperlink r:id="rId10">
        <w:r w:rsidRPr="00BD220B">
          <w:rPr>
            <w:rStyle w:val="Hyperlink"/>
            <w:rFonts w:asciiTheme="majorHAnsi" w:hAnsiTheme="majorHAnsi" w:cstheme="majorHAnsi"/>
            <w:color w:val="0000FF"/>
          </w:rPr>
          <w:t>https://cen.unb.br/2022/10/24/orientacoes-para-utilizacao-e-preenchimento-do-curriculo-lattes/</w:t>
        </w:r>
      </w:hyperlink>
    </w:p>
    <w:p w:rsidR="00D15691" w:rsidRPr="0033611D" w:rsidRDefault="00D15691">
      <w:pPr>
        <w:tabs>
          <w:tab w:val="left" w:pos="4544"/>
        </w:tabs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sectPr w:rsidR="00D15691" w:rsidRPr="0033611D">
      <w:headerReference w:type="default" r:id="rId11"/>
      <w:headerReference w:type="first" r:id="rId12"/>
      <w:pgSz w:w="11906" w:h="16838"/>
      <w:pgMar w:top="1418" w:right="1418" w:bottom="1418" w:left="1418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4B" w:rsidRDefault="000C114B">
      <w:pPr>
        <w:spacing w:after="0"/>
      </w:pPr>
      <w:r>
        <w:separator/>
      </w:r>
    </w:p>
  </w:endnote>
  <w:endnote w:type="continuationSeparator" w:id="0">
    <w:p w:rsidR="000C114B" w:rsidRDefault="000C1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4B" w:rsidRDefault="000C114B">
      <w:pPr>
        <w:spacing w:after="0"/>
      </w:pPr>
      <w:r>
        <w:separator/>
      </w:r>
    </w:p>
  </w:footnote>
  <w:footnote w:type="continuationSeparator" w:id="0">
    <w:p w:rsidR="000C114B" w:rsidRDefault="000C1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7216" behindDoc="1" locked="0" layoutInCell="1" allowOverlap="1" wp14:anchorId="59FEBF20" wp14:editId="1CF71C2C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4F008CE4" wp14:editId="6329D68D">
                <wp:extent cx="631190" cy="79756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8240" behindDoc="1" locked="0" layoutInCell="1" allowOverlap="1" wp14:anchorId="5718C340" wp14:editId="6C075AE5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3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7136EB90" wp14:editId="62F7F490">
                <wp:extent cx="631190" cy="79756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DC5"/>
    <w:multiLevelType w:val="multilevel"/>
    <w:tmpl w:val="C844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75151"/>
    <w:multiLevelType w:val="multilevel"/>
    <w:tmpl w:val="87F0A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4CA2"/>
    <w:multiLevelType w:val="multilevel"/>
    <w:tmpl w:val="75468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6584B"/>
    <w:multiLevelType w:val="multilevel"/>
    <w:tmpl w:val="FDFC57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0C114B"/>
    <w:rsid w:val="00262172"/>
    <w:rsid w:val="0033611D"/>
    <w:rsid w:val="00BD220B"/>
    <w:rsid w:val="00C56EC5"/>
    <w:rsid w:val="00D15691"/>
    <w:rsid w:val="00E21888"/>
    <w:rsid w:val="00E863D7"/>
    <w:rsid w:val="00E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en.unb.br/2022/10/24/orientacoes-para-utilizacao-e-preenchimento-do-curriculo-latt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pgcen@unb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304E-9F73-42EC-8E5D-ACD51835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1042</Words>
  <Characters>5632</Characters>
  <Application>Microsoft Office Word</Application>
  <DocSecurity>0</DocSecurity>
  <Lines>46</Lines>
  <Paragraphs>13</Paragraphs>
  <ScaleCrop>false</ScaleCrop>
  <Company>Theatre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34</cp:revision>
  <dcterms:created xsi:type="dcterms:W3CDTF">2023-02-02T11:21:00Z</dcterms:created>
  <dcterms:modified xsi:type="dcterms:W3CDTF">2025-12-16T21:21:00Z</dcterms:modified>
  <dc:language>pt-BR</dc:language>
</cp:coreProperties>
</file>